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</w:rPr>
        <w:t>附件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2</w:t>
      </w:r>
      <w:bookmarkStart w:id="0" w:name="_GoBack"/>
      <w:bookmarkEnd w:id="0"/>
    </w:p>
    <w:p>
      <w:pPr>
        <w:rPr>
          <w:rFonts w:ascii="仿宋_GB2312" w:hAnsi="仿宋" w:eastAsia="仿宋_GB2312"/>
          <w:b/>
          <w:sz w:val="36"/>
          <w:szCs w:val="36"/>
        </w:rPr>
      </w:pPr>
    </w:p>
    <w:p>
      <w:pPr>
        <w:jc w:val="center"/>
        <w:rPr>
          <w:rFonts w:hint="eastAsia" w:ascii="宋体" w:hAnsi="宋体" w:eastAsia="宋体" w:cs="宋体"/>
          <w:b w:val="0"/>
          <w:bCs/>
          <w:sz w:val="36"/>
          <w:szCs w:val="36"/>
        </w:rPr>
      </w:pPr>
      <w:r>
        <w:rPr>
          <w:rFonts w:hint="eastAsia" w:ascii="宋体" w:hAnsi="宋体" w:eastAsia="宋体" w:cs="宋体"/>
          <w:b w:val="0"/>
          <w:bCs/>
          <w:sz w:val="36"/>
          <w:szCs w:val="36"/>
        </w:rPr>
        <w:t>学青会反兴奋剂线上教育准入系统操作指南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/>
          <w:b w:val="0"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Times New Roman"/>
          <w:b w:val="0"/>
          <w:bCs/>
          <w:sz w:val="32"/>
          <w:szCs w:val="32"/>
          <w:lang w:val="en-US" w:eastAsia="zh-CN"/>
        </w:rPr>
        <w:t>学青会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反兴奋剂线上教育准入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系统可以通过电脑端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网页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和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手机端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微信小程序两种方式进行登录学习。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_GB2312" w:hAnsi="仿宋_GB2312" w:eastAsia="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电脑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端在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浏览器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输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入</w:t>
      </w:r>
      <w:r>
        <w:rPr>
          <w:rFonts w:ascii="仿宋_GB2312" w:hAnsi="仿宋_GB2312" w:eastAsia="仿宋_GB2312"/>
          <w:b w:val="0"/>
          <w:bCs/>
          <w:sz w:val="32"/>
          <w:szCs w:val="32"/>
        </w:rPr>
        <w:t>cleanmedal.chinada.cn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该网址仅限电脑端登录，使用手机浏览器登录可能存在软件兼容问题，导致学习页面无法跳转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），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或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手机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端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关注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中国反兴奋剂中心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”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微信公众号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扫描下方二维码可关注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并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点击“互动专区-教育准入”进入中国反兴奋剂教育平台（CADEP）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微信小程序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。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31"/>
        <w:gridCol w:w="28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563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</w:pPr>
            <w:r>
              <w:rPr>
                <w:rFonts w:ascii="仿宋_GB2312" w:hAnsi="仿宋_GB2312" w:eastAsia="仿宋_GB2312"/>
                <w:b/>
                <w:bCs/>
                <w:sz w:val="32"/>
                <w:szCs w:val="32"/>
              </w:rPr>
              <w:drawing>
                <wp:inline distT="0" distB="0" distL="114300" distR="114300">
                  <wp:extent cx="1143000" cy="1143000"/>
                  <wp:effectExtent l="0" t="0" r="0" b="0"/>
                  <wp:docPr id="3" name="图片 1" descr="微信图片_202002211609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微信图片_20200221160955.pn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仿宋_GB2312" w:hAnsi="仿宋_GB2312" w:eastAsia="仿宋_GB2312"/>
                <w:b/>
                <w:bCs/>
                <w:sz w:val="32"/>
                <w:szCs w:val="32"/>
                <w:vertAlign w:val="baseline"/>
                <w:lang w:eastAsia="zh-CN"/>
              </w:rPr>
            </w:pPr>
            <w:r>
              <w:drawing>
                <wp:inline distT="0" distB="0" distL="114300" distR="114300">
                  <wp:extent cx="3225800" cy="1751965"/>
                  <wp:effectExtent l="0" t="0" r="0" b="635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5800" cy="175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仿宋_GB2312" w:hAnsi="仿宋_GB2312" w:eastAsia="仿宋_GB2312"/>
                <w:b/>
                <w:bCs/>
                <w:sz w:val="32"/>
                <w:szCs w:val="32"/>
                <w:vertAlign w:val="baseline"/>
                <w:lang w:eastAsia="zh-CN"/>
              </w:rPr>
            </w:pPr>
            <w:r>
              <w:rPr>
                <w:rFonts w:hint="eastAsia" w:ascii="仿宋_GB2312" w:hAnsi="仿宋_GB2312" w:eastAsia="仿宋_GB2312"/>
                <w:b/>
                <w:bCs/>
                <w:sz w:val="32"/>
                <w:szCs w:val="32"/>
                <w:vertAlign w:val="baseline"/>
                <w:lang w:eastAsia="zh-CN"/>
              </w:rPr>
              <w:drawing>
                <wp:inline distT="0" distB="0" distL="114300" distR="114300">
                  <wp:extent cx="1687195" cy="3502660"/>
                  <wp:effectExtent l="0" t="0" r="1905" b="2540"/>
                  <wp:docPr id="2" name="图片 3" descr="2499031e125b6eb601772b894e35a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3" descr="2499031e125b6eb601772b894e35acc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4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195" cy="350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以电脑端为例，具体操作方式如下：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_GB2312" w:hAnsi="仿宋_GB2312" w:eastAsia="仿宋_GB2312"/>
          <w:b w:val="0"/>
          <w:bCs/>
          <w:sz w:val="32"/>
          <w:szCs w:val="32"/>
        </w:rPr>
      </w:pP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一、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电脑浏览器键入</w:t>
      </w:r>
      <w:r>
        <w:rPr>
          <w:rFonts w:ascii="仿宋_GB2312" w:hAnsi="仿宋_GB2312" w:eastAsia="仿宋_GB2312"/>
          <w:b w:val="0"/>
          <w:bCs/>
          <w:sz w:val="32"/>
          <w:szCs w:val="32"/>
        </w:rPr>
        <w:t>cleanmedal.chinada.cn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进入中国反兴奋剂教育平台（CADEP）。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9865" cy="2807335"/>
            <wp:effectExtent l="0" t="0" r="635" b="1206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0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二、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新用户请点击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首页右上角人物图标进行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注册；已有账号人员直接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  <w:t>点击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登</w:t>
      </w:r>
      <w:r>
        <w:rPr>
          <w:rFonts w:hint="eastAsia" w:ascii="仿宋_GB2312" w:hAnsi="仿宋_GB2312" w:eastAsia="仿宋_GB2312"/>
          <w:b w:val="0"/>
          <w:bCs/>
          <w:sz w:val="32"/>
          <w:szCs w:val="32"/>
          <w:lang w:val="en-US" w:eastAsia="zh-CN"/>
        </w:rPr>
        <w:t>录</w:t>
      </w:r>
      <w:r>
        <w:rPr>
          <w:rFonts w:hint="eastAsia" w:ascii="仿宋_GB2312" w:hAnsi="仿宋_GB2312" w:eastAsia="仿宋_GB2312"/>
          <w:b w:val="0"/>
          <w:bCs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/>
          <w:b w:val="0"/>
          <w:bCs/>
          <w:sz w:val="32"/>
          <w:szCs w:val="32"/>
          <w:lang w:eastAsia="zh-CN"/>
        </w:rPr>
      </w:pPr>
      <w:r>
        <w:rPr>
          <w:rFonts w:ascii="仿宋_GB2312" w:hAnsi="仿宋_GB2312" w:eastAsia="仿宋_GB2312"/>
          <w:b/>
          <w:bCs/>
          <w:sz w:val="32"/>
          <w:szCs w:val="32"/>
        </w:rPr>
        <w:drawing>
          <wp:inline distT="0" distB="0" distL="114300" distR="114300">
            <wp:extent cx="5248275" cy="2078355"/>
            <wp:effectExtent l="0" t="0" r="9525" b="4445"/>
            <wp:docPr id="6" name="图片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A screenshot of a cell pho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/>
          <w:b w:val="0"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_GB2312" w:hAnsi="仿宋_GB2312" w:eastAsia="仿宋_GB2312"/>
          <w:b w:val="0"/>
          <w:bCs w:val="0"/>
          <w:sz w:val="32"/>
          <w:szCs w:val="32"/>
        </w:rPr>
      </w:pP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三、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新用户填写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信息，完成注册。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运动员和辅助人员应根据参赛项目准确选择自己的运动项目类别（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从列表中的夏季项目中进行选择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）。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为了确保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准入工作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管理员能够在后台查看到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相关人员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考试情况，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运动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级别一栏请选择“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省级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”，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对于前期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已完成注册的运动员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无须重新注册，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可在个人中心进行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信息更新或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调整。</w:t>
      </w:r>
    </w:p>
    <w:p>
      <w:pPr>
        <w:jc w:val="center"/>
      </w:pPr>
      <w:r>
        <w:drawing>
          <wp:inline distT="0" distB="0" distL="114300" distR="114300">
            <wp:extent cx="4665345" cy="2511425"/>
            <wp:effectExtent l="0" t="0" r="8255" b="317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_GB2312" w:hAnsi="仿宋_GB2312" w:eastAsia="仿宋_GB2312"/>
          <w:b/>
          <w:bCs/>
          <w:sz w:val="32"/>
          <w:szCs w:val="32"/>
        </w:rPr>
      </w:pPr>
      <w:r>
        <w:drawing>
          <wp:inline distT="0" distB="0" distL="114300" distR="114300">
            <wp:extent cx="3131185" cy="3222625"/>
            <wp:effectExtent l="0" t="0" r="5715" b="3175"/>
            <wp:docPr id="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31185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ascii="仿宋_GB2312" w:hAnsi="仿宋_GB2312" w:eastAsia="仿宋_GB2312"/>
          <w:b w:val="0"/>
          <w:bCs w:val="0"/>
          <w:sz w:val="32"/>
          <w:szCs w:val="32"/>
        </w:rPr>
      </w:pP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四、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点击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“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广西学青会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反兴奋剂教育准入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公开组运动员、校园组运动员或辅助人员入口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）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”</w:t>
      </w:r>
    </w:p>
    <w:p>
      <w:pPr>
        <w:jc w:val="center"/>
        <w:rPr>
          <w:rFonts w:ascii="仿宋_GB2312" w:hAnsi="仿宋_GB2312" w:eastAsia="仿宋_GB2312"/>
          <w:b/>
          <w:bCs/>
          <w:sz w:val="32"/>
          <w:szCs w:val="32"/>
        </w:rPr>
      </w:pPr>
      <w:r>
        <w:drawing>
          <wp:inline distT="0" distB="0" distL="114300" distR="114300">
            <wp:extent cx="5269865" cy="2725420"/>
            <wp:effectExtent l="0" t="0" r="635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2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课程学习。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准入对象需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按要求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依次完成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反兴奋剂综合知识、专项知识和扩展知识三个阶段课程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学习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后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方可进行课程考试。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 w:ascii="仿宋_GB2312" w:hAnsi="仿宋_GB2312" w:eastAsia="仿宋_GB2312"/>
          <w:b w:val="0"/>
          <w:bCs w:val="0"/>
          <w:sz w:val="32"/>
          <w:szCs w:val="32"/>
          <w:highlight w:val="none"/>
          <w:lang w:val="en-US" w:eastAsia="zh-CN"/>
        </w:rPr>
      </w:pPr>
      <w:r>
        <w:rPr>
          <w:rFonts w:hint="default" w:ascii="仿宋_GB2312" w:hAnsi="仿宋_GB2312" w:eastAsia="仿宋_GB2312"/>
          <w:b w:val="0"/>
          <w:bCs w:val="0"/>
          <w:sz w:val="32"/>
          <w:szCs w:val="32"/>
          <w:highlight w:val="none"/>
          <w:lang w:val="en-US" w:eastAsia="zh-CN"/>
        </w:rPr>
        <w:drawing>
          <wp:inline distT="0" distB="0" distL="114300" distR="114300">
            <wp:extent cx="4319905" cy="2561590"/>
            <wp:effectExtent l="0" t="0" r="10795" b="3810"/>
            <wp:docPr id="9" name="图片 9" descr="19997c3712b89650aa79e3cc8ea0d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9997c3712b89650aa79e3cc8ea0d4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56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rPr>
          <w:rFonts w:hint="default" w:ascii="仿宋_GB2312" w:hAnsi="仿宋_GB2312" w:eastAsia="仿宋_GB2312"/>
          <w:b w:val="0"/>
          <w:bCs w:val="0"/>
          <w:sz w:val="32"/>
          <w:szCs w:val="32"/>
          <w:highlight w:val="green"/>
          <w:lang w:val="en-US" w:eastAsia="zh-CN"/>
        </w:rPr>
      </w:pPr>
    </w:p>
    <w:p>
      <w:pPr>
        <w:jc w:val="center"/>
        <w:rPr>
          <w:rFonts w:ascii="仿宋_GB2312" w:hAnsi="仿宋_GB2312" w:eastAsia="仿宋_GB2312"/>
          <w:b/>
          <w:bCs/>
          <w:sz w:val="32"/>
          <w:szCs w:val="32"/>
        </w:rPr>
      </w:pPr>
      <w:r>
        <w:rPr>
          <w:rFonts w:ascii="仿宋_GB2312" w:hAnsi="仿宋_GB2312" w:eastAsia="仿宋_GB2312" w:cs="Times New Roman"/>
          <w:b/>
          <w:bCs/>
          <w:kern w:val="0"/>
          <w:sz w:val="32"/>
          <w:szCs w:val="32"/>
          <w:highlight w:val="none"/>
        </w:rPr>
        <w:drawing>
          <wp:inline distT="0" distB="0" distL="114300" distR="114300">
            <wp:extent cx="4319905" cy="3747770"/>
            <wp:effectExtent l="0" t="0" r="10795" b="11430"/>
            <wp:docPr id="10" name="图片 1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 screenshot of a cell pho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74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ascii="仿宋_GB2312" w:hAnsi="仿宋_GB2312" w:eastAsia="仿宋_GB2312"/>
          <w:b/>
          <w:bCs/>
          <w:sz w:val="32"/>
          <w:szCs w:val="32"/>
        </w:rPr>
      </w:pPr>
    </w:p>
    <w:p>
      <w:pPr>
        <w:ind w:firstLine="640" w:firstLineChars="200"/>
        <w:rPr>
          <w:rFonts w:ascii="仿宋_GB2312" w:hAnsi="仿宋_GB2312" w:eastAsia="仿宋_GB2312"/>
          <w:b/>
          <w:bCs/>
          <w:sz w:val="32"/>
          <w:szCs w:val="32"/>
          <w:highlight w:val="none"/>
        </w:rPr>
      </w:pP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六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准入考试。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highlight w:val="none"/>
          <w:lang w:val="en-US" w:eastAsia="zh-CN"/>
        </w:rPr>
        <w:t>所有</w:t>
      </w:r>
      <w:r>
        <w:rPr>
          <w:rFonts w:ascii="仿宋_GB2312" w:hAnsi="仿宋_GB2312" w:eastAsia="仿宋_GB2312"/>
          <w:b w:val="0"/>
          <w:bCs w:val="0"/>
          <w:sz w:val="32"/>
          <w:szCs w:val="32"/>
          <w:highlight w:val="none"/>
        </w:rPr>
        <w:t>课程学习完成后，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highlight w:val="none"/>
        </w:rPr>
        <w:t>点击</w:t>
      </w:r>
      <w:r>
        <w:rPr>
          <w:rFonts w:ascii="仿宋_GB2312" w:hAnsi="仿宋_GB2312" w:eastAsia="仿宋_GB2312"/>
          <w:b w:val="0"/>
          <w:bCs w:val="0"/>
          <w:sz w:val="32"/>
          <w:szCs w:val="32"/>
          <w:highlight w:val="none"/>
        </w:rPr>
        <w:t>进入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highlight w:val="none"/>
          <w:lang w:val="en-US" w:eastAsia="zh-CN"/>
        </w:rPr>
        <w:t>准入</w:t>
      </w:r>
      <w:r>
        <w:rPr>
          <w:rFonts w:ascii="仿宋_GB2312" w:hAnsi="仿宋_GB2312" w:eastAsia="仿宋_GB2312"/>
          <w:b w:val="0"/>
          <w:bCs w:val="0"/>
          <w:sz w:val="32"/>
          <w:szCs w:val="32"/>
          <w:highlight w:val="none"/>
        </w:rPr>
        <w:t>考试模块，</w:t>
      </w:r>
      <w:r>
        <w:rPr>
          <w:rFonts w:hint="eastAsia" w:ascii="仿宋_GB2312" w:hAnsi="仿宋_GB2312" w:eastAsia="仿宋_GB2312"/>
          <w:sz w:val="32"/>
          <w:szCs w:val="32"/>
          <w:highlight w:val="none"/>
        </w:rPr>
        <w:t>准入考试满分为100分，达到</w:t>
      </w:r>
      <w:r>
        <w:rPr>
          <w:rFonts w:hint="eastAsia" w:ascii="仿宋_GB2312" w:hAnsi="仿宋_GB2312" w:eastAsia="仿宋_GB2312"/>
          <w:sz w:val="32"/>
          <w:szCs w:val="32"/>
          <w:highlight w:val="none"/>
          <w:lang w:val="en-US" w:eastAsia="zh-CN"/>
        </w:rPr>
        <w:t>80</w:t>
      </w:r>
      <w:r>
        <w:rPr>
          <w:rFonts w:hint="eastAsia" w:ascii="仿宋_GB2312" w:hAnsi="仿宋_GB2312" w:eastAsia="仿宋_GB2312"/>
          <w:sz w:val="32"/>
          <w:szCs w:val="32"/>
          <w:highlight w:val="none"/>
        </w:rPr>
        <w:t>分（含）以上为合格</w:t>
      </w:r>
      <w:r>
        <w:rPr>
          <w:rFonts w:hint="eastAsia" w:ascii="仿宋_GB2312" w:hAnsi="仿宋_GB2312" w:eastAsia="仿宋_GB2312"/>
          <w:sz w:val="32"/>
          <w:szCs w:val="32"/>
          <w:highlight w:val="none"/>
          <w:lang w:eastAsia="zh-CN"/>
        </w:rPr>
        <w:t>（</w:t>
      </w:r>
      <w:r>
        <w:rPr>
          <w:rFonts w:hint="eastAsia" w:ascii="仿宋_GB2312" w:hAnsi="仿宋_GB2312" w:eastAsia="仿宋_GB2312"/>
          <w:sz w:val="32"/>
          <w:szCs w:val="32"/>
          <w:highlight w:val="none"/>
          <w:lang w:val="en-US" w:eastAsia="zh-CN"/>
        </w:rPr>
        <w:t>每人有3次考试机会，以最高成绩为最终成绩</w:t>
      </w:r>
      <w:r>
        <w:rPr>
          <w:rFonts w:hint="eastAsia" w:ascii="仿宋_GB2312" w:hAnsi="仿宋_GB2312" w:eastAsia="仿宋_GB2312"/>
          <w:sz w:val="32"/>
          <w:szCs w:val="32"/>
          <w:highlight w:val="none"/>
          <w:lang w:eastAsia="zh-CN"/>
        </w:rPr>
        <w:t>）</w:t>
      </w:r>
      <w:r>
        <w:rPr>
          <w:rFonts w:hint="eastAsia" w:ascii="仿宋_GB2312" w:hAnsi="仿宋_GB2312" w:eastAsia="仿宋_GB2312"/>
          <w:sz w:val="32"/>
          <w:szCs w:val="32"/>
          <w:highlight w:val="none"/>
        </w:rPr>
        <w:t>。通过课程考试后</w:t>
      </w:r>
      <w:r>
        <w:rPr>
          <w:rFonts w:hint="eastAsia" w:ascii="仿宋_GB2312" w:hAnsi="仿宋_GB2312" w:eastAsia="仿宋_GB2312"/>
          <w:sz w:val="32"/>
          <w:szCs w:val="32"/>
          <w:highlight w:val="none"/>
          <w:lang w:val="en-US" w:eastAsia="zh-CN"/>
        </w:rPr>
        <w:t>方</w:t>
      </w:r>
      <w:r>
        <w:rPr>
          <w:rFonts w:hint="eastAsia" w:ascii="仿宋_GB2312" w:hAnsi="仿宋_GB2312" w:eastAsia="仿宋_GB2312"/>
          <w:sz w:val="32"/>
          <w:szCs w:val="32"/>
          <w:highlight w:val="none"/>
        </w:rPr>
        <w:t>可获得参赛资格准入合格证书。</w:t>
      </w:r>
    </w:p>
    <w:p>
      <w:pPr>
        <w:ind w:firstLine="640" w:firstLineChars="200"/>
        <w:jc w:val="left"/>
        <w:rPr>
          <w:rFonts w:ascii="仿宋_GB2312" w:hAnsi="仿宋_GB2312" w:eastAsia="仿宋_GB2312" w:cs="Times New Roman"/>
          <w:b/>
          <w:bCs/>
          <w:kern w:val="0"/>
          <w:sz w:val="32"/>
          <w:szCs w:val="32"/>
        </w:rPr>
      </w:pP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七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宣誓承诺。通过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考试后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进行反兴奋剂工作宣誓承诺，运动员和辅助人员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须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在承诺书中填写自己的姓名，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完成线上宣誓承诺环节。</w:t>
      </w:r>
      <w:r>
        <w:rPr>
          <w:rFonts w:ascii="仿宋_GB2312" w:hAnsi="仿宋_GB2312" w:eastAsia="仿宋_GB2312" w:cs="Times New Roman"/>
          <w:b/>
          <w:bCs/>
          <w:kern w:val="0"/>
          <w:sz w:val="32"/>
          <w:szCs w:val="32"/>
        </w:rPr>
        <w:fldChar w:fldCharType="begin"/>
      </w:r>
      <w:r>
        <w:rPr>
          <w:rFonts w:ascii="仿宋_GB2312" w:hAnsi="仿宋_GB2312" w:eastAsia="仿宋_GB2312" w:cs="Times New Roman"/>
          <w:b/>
          <w:bCs/>
          <w:kern w:val="0"/>
          <w:sz w:val="32"/>
          <w:szCs w:val="32"/>
        </w:rPr>
        <w:instrText xml:space="preserve"> INCLUDEPICTURE "http://cleanmedal.chinada.cn/images_zcb/certificates/%E5%8F%8D%E5%85%B4%E5%A5%8B%E5%89%82%E6%95%99%E8%82%B2%E5%87%86%E5%85%A5%E5%90%88%E6%A0%BC%E8%AF%81%E4%B9%A6_%E5%91%A8%E4%B8%BA%E8%AF%9A022019180218.jpg" \* MERGEFORMATINET </w:instrText>
      </w:r>
      <w:r>
        <w:rPr>
          <w:rFonts w:ascii="仿宋_GB2312" w:hAnsi="仿宋_GB2312" w:eastAsia="仿宋_GB2312" w:cs="Times New Roman"/>
          <w:b/>
          <w:bCs/>
          <w:kern w:val="0"/>
          <w:sz w:val="32"/>
          <w:szCs w:val="32"/>
        </w:rPr>
        <w:fldChar w:fldCharType="end"/>
      </w:r>
    </w:p>
    <w:p>
      <w:pPr>
        <w:ind w:firstLine="640" w:firstLineChars="200"/>
        <w:rPr>
          <w:rFonts w:ascii="仿宋_GB2312" w:hAnsi="仿宋_GB2312" w:eastAsia="仿宋_GB2312"/>
          <w:b w:val="0"/>
          <w:bCs w:val="0"/>
          <w:sz w:val="32"/>
          <w:szCs w:val="32"/>
        </w:rPr>
      </w:pP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八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准入对象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点击网页右上角人物图标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-个人中心，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可查询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成绩、证书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  <w:lang w:val="en-US" w:eastAsia="zh-CN"/>
        </w:rPr>
        <w:t>以及</w:t>
      </w:r>
      <w:r>
        <w:rPr>
          <w:rFonts w:hint="eastAsia" w:ascii="仿宋_GB2312" w:hAnsi="仿宋_GB2312" w:eastAsia="仿宋_GB2312"/>
          <w:b w:val="0"/>
          <w:bCs w:val="0"/>
          <w:sz w:val="32"/>
          <w:szCs w:val="32"/>
        </w:rPr>
        <w:t>修改个人信息</w:t>
      </w:r>
      <w:r>
        <w:rPr>
          <w:rFonts w:ascii="仿宋_GB2312" w:hAnsi="仿宋_GB2312" w:eastAsia="仿宋_GB2312"/>
          <w:b w:val="0"/>
          <w:bCs w:val="0"/>
          <w:sz w:val="32"/>
          <w:szCs w:val="32"/>
        </w:rPr>
        <w:t>。</w:t>
      </w:r>
    </w:p>
    <w:p>
      <w:pPr>
        <w:ind w:firstLine="640" w:firstLineChars="200"/>
        <w:rPr>
          <w:rFonts w:ascii="仿宋_GB2312" w:hAnsi="仿宋_GB2312" w:eastAsia="仿宋_GB2312"/>
          <w:b w:val="0"/>
          <w:bCs w:val="0"/>
          <w:sz w:val="32"/>
          <w:szCs w:val="32"/>
        </w:rPr>
      </w:pPr>
    </w:p>
    <w:p>
      <w:pPr>
        <w:jc w:val="both"/>
        <w:rPr>
          <w:rFonts w:ascii="仿宋_GB2312" w:hAnsi="仿宋_GB2312" w:eastAsia="仿宋_GB2312"/>
          <w:b w:val="0"/>
          <w:bCs w:val="0"/>
          <w:sz w:val="32"/>
          <w:szCs w:val="32"/>
        </w:rPr>
      </w:pPr>
      <w:r>
        <w:drawing>
          <wp:inline distT="0" distB="0" distL="114300" distR="114300">
            <wp:extent cx="5270500" cy="5715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inline distT="0" distB="0" distL="114300" distR="114300">
            <wp:extent cx="5267325" cy="1781175"/>
            <wp:effectExtent l="0" t="0" r="317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</w:p>
    <w:p>
      <w:pPr>
        <w:keepNext w:val="0"/>
        <w:keepLines w:val="0"/>
        <w:pageBreakBefore w:val="0"/>
        <w:tabs>
          <w:tab w:val="left" w:pos="91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exact"/>
        <w:jc w:val="left"/>
        <w:textAlignment w:val="auto"/>
        <w:rPr>
          <w:rFonts w:hint="default" w:ascii="仿宋_GB2312" w:hAnsi="仿宋_GB2312" w:eastAsia="仿宋_GB2312" w:cs="仿宋_GB2312"/>
          <w:lang w:val="en-US" w:eastAsia="zh-CN"/>
        </w:rPr>
      </w:pPr>
      <w:r>
        <w:rPr>
          <w:rFonts w:ascii="仿宋_GB2312" w:hAnsi="仿宋_GB2312" w:eastAsia="仿宋_GB2312" w:cs="Times New Roman"/>
          <w:b/>
          <w:bCs/>
          <w:kern w:val="0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669290</wp:posOffset>
            </wp:positionH>
            <wp:positionV relativeFrom="paragraph">
              <wp:posOffset>241300</wp:posOffset>
            </wp:positionV>
            <wp:extent cx="3657600" cy="2581275"/>
            <wp:effectExtent l="0" t="0" r="0" b="9525"/>
            <wp:wrapTopAndBottom/>
            <wp:docPr id="13" name="图片 2" descr="准入证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准入证书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lang w:val="en-US" w:eastAsia="zh-CN"/>
        </w:rPr>
        <w:t xml:space="preserve">    </w:t>
      </w:r>
    </w:p>
    <w:p>
      <w:pPr>
        <w:tabs>
          <w:tab w:val="left" w:pos="459"/>
        </w:tabs>
        <w:jc w:val="left"/>
        <w:rPr>
          <w:rFonts w:hint="eastAsia" w:ascii="黑体" w:hAnsi="黑体" w:eastAsia="黑体"/>
          <w:sz w:val="32"/>
          <w:szCs w:val="32"/>
          <w:lang w:val="en-US" w:eastAsia="zh-CN"/>
        </w:rPr>
      </w:pPr>
    </w:p>
    <w:p>
      <w:pPr>
        <w:tabs>
          <w:tab w:val="left" w:pos="459"/>
        </w:tabs>
        <w:jc w:val="left"/>
        <w:rPr>
          <w:rFonts w:hint="eastAsia" w:ascii="黑体" w:hAnsi="黑体" w:eastAsia="黑体"/>
          <w:sz w:val="32"/>
          <w:szCs w:val="32"/>
          <w:lang w:val="en-US" w:eastAsia="zh-CN"/>
        </w:rPr>
      </w:pPr>
    </w:p>
    <w:p>
      <w:pPr>
        <w:tabs>
          <w:tab w:val="left" w:pos="459"/>
        </w:tabs>
        <w:jc w:val="left"/>
        <w:rPr>
          <w:rFonts w:hint="eastAsia" w:ascii="黑体" w:hAnsi="黑体" w:eastAsia="黑体"/>
          <w:sz w:val="32"/>
          <w:szCs w:val="32"/>
          <w:lang w:val="en-US" w:eastAsia="zh-CN"/>
        </w:rPr>
      </w:pPr>
    </w:p>
    <w:p>
      <w:pPr>
        <w:tabs>
          <w:tab w:val="left" w:pos="459"/>
        </w:tabs>
        <w:jc w:val="left"/>
        <w:rPr>
          <w:rFonts w:hint="eastAsia" w:ascii="黑体" w:hAnsi="黑体" w:eastAsia="黑体"/>
          <w:sz w:val="32"/>
          <w:szCs w:val="32"/>
          <w:lang w:val="en-US" w:eastAsia="zh-CN"/>
        </w:rPr>
      </w:pPr>
    </w:p>
    <w:p>
      <w:pPr>
        <w:tabs>
          <w:tab w:val="left" w:pos="459"/>
        </w:tabs>
        <w:jc w:val="left"/>
        <w:rPr>
          <w:rFonts w:hint="eastAsia" w:ascii="黑体" w:hAnsi="黑体" w:eastAsia="黑体"/>
          <w:sz w:val="32"/>
          <w:szCs w:val="32"/>
          <w:lang w:val="en-US" w:eastAsia="zh-CN"/>
        </w:rPr>
      </w:pPr>
    </w:p>
    <w:p>
      <w:pPr>
        <w:tabs>
          <w:tab w:val="left" w:pos="459"/>
        </w:tabs>
        <w:jc w:val="left"/>
        <w:rPr>
          <w:rFonts w:hint="eastAsia" w:ascii="黑体" w:hAnsi="黑体" w:eastAsia="黑体"/>
          <w:sz w:val="32"/>
          <w:szCs w:val="32"/>
          <w:lang w:val="en-US" w:eastAsia="zh-CN"/>
        </w:rPr>
      </w:pPr>
    </w:p>
    <w:p>
      <w:pPr>
        <w:tabs>
          <w:tab w:val="left" w:pos="459"/>
        </w:tabs>
        <w:jc w:val="left"/>
        <w:rPr>
          <w:rFonts w:hint="eastAsia" w:ascii="黑体" w:hAnsi="黑体" w:eastAsia="黑体"/>
          <w:sz w:val="32"/>
          <w:szCs w:val="32"/>
          <w:lang w:val="en-US" w:eastAsia="zh-CN"/>
        </w:rPr>
      </w:pPr>
    </w:p>
    <w:p/>
    <w:sectPr>
      <w:footerReference r:id="rId3" w:type="default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hint="eastAsia" w:ascii="仿宋_GB2312" w:hAnsi="仿宋_GB2312" w:eastAsia="仿宋_GB2312" w:cs="仿宋_GB2312"/>
                              <w:sz w:val="24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4"/>
                              <w:szCs w:val="40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4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4"/>
                              <w:szCs w:val="40"/>
                            </w:rPr>
                            <w:t>1</w: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4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iHCGAt0CAAAm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rPr>
                        <w:rFonts w:hint="eastAsia" w:ascii="仿宋_GB2312" w:hAnsi="仿宋_GB2312" w:eastAsia="仿宋_GB2312" w:cs="仿宋_GB2312"/>
                        <w:sz w:val="24"/>
                        <w:szCs w:val="40"/>
                      </w:rPr>
                      <w:fldChar w:fldCharType="begin"/>
                    </w:r>
                    <w:r>
                      <w:rPr>
                        <w:rFonts w:hint="eastAsia" w:ascii="仿宋_GB2312" w:hAnsi="仿宋_GB2312" w:eastAsia="仿宋_GB2312" w:cs="仿宋_GB2312"/>
                        <w:sz w:val="24"/>
                        <w:szCs w:val="40"/>
                      </w:rPr>
                      <w:instrText xml:space="preserve"> PAGE  \* MERGEFORMAT </w:instrText>
                    </w:r>
                    <w:r>
                      <w:rPr>
                        <w:rFonts w:hint="eastAsia" w:ascii="仿宋_GB2312" w:hAnsi="仿宋_GB2312" w:eastAsia="仿宋_GB2312" w:cs="仿宋_GB2312"/>
                        <w:sz w:val="24"/>
                        <w:szCs w:val="40"/>
                      </w:rPr>
                      <w:fldChar w:fldCharType="separate"/>
                    </w:r>
                    <w:r>
                      <w:rPr>
                        <w:rFonts w:hint="eastAsia" w:ascii="仿宋_GB2312" w:hAnsi="仿宋_GB2312" w:eastAsia="仿宋_GB2312" w:cs="仿宋_GB2312"/>
                        <w:sz w:val="24"/>
                        <w:szCs w:val="40"/>
                      </w:rPr>
                      <w:t>1</w:t>
                    </w:r>
                    <w:r>
                      <w:rPr>
                        <w:rFonts w:hint="eastAsia" w:ascii="仿宋_GB2312" w:hAnsi="仿宋_GB2312" w:eastAsia="仿宋_GB2312" w:cs="仿宋_GB2312"/>
                        <w:sz w:val="24"/>
                        <w:szCs w:val="4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7A1DB0"/>
    <w:multiLevelType w:val="singleLevel"/>
    <w:tmpl w:val="087A1DB0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ZmNTE4NGMyM2E3NDdmMjQwODFlOTJkNzA0YjNlMGIifQ=="/>
  </w:docVars>
  <w:rsids>
    <w:rsidRoot w:val="09E1797B"/>
    <w:rsid w:val="09E17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59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2023-08-28T08:38:00Z</dcterms:created>
  <dc:creator>CHINADA</dc:creator>
  <cp:lastModifiedBy>CHINADA</cp:lastModifiedBy>
  <dcterms:modified xsi:type="dcterms:W3CDTF">2023-08-28T08:39:41Z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EADDC897B90E451992961082165B16AE_11</vt:lpwstr>
  </property>
</Properties>
</file>